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67B4D" w:rsidRPr="00443D75" w:rsidRDefault="001F5B53">
      <w:pPr>
        <w:spacing w:after="0" w:line="360" w:lineRule="auto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443D75">
        <w:rPr>
          <w:rFonts w:ascii="Arial" w:eastAsia="Arial" w:hAnsi="Arial" w:cs="Arial"/>
          <w:b/>
          <w:color w:val="000000"/>
          <w:sz w:val="36"/>
          <w:szCs w:val="36"/>
        </w:rPr>
        <w:t>PŘEDKLÁDACÍ ZPRÁVA</w:t>
      </w:r>
    </w:p>
    <w:p w14:paraId="00000002" w14:textId="77777777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  <w:color w:val="000000"/>
        </w:rPr>
      </w:pPr>
      <w:r w:rsidRPr="00443D75">
        <w:rPr>
          <w:rFonts w:ascii="Arial" w:eastAsia="Arial" w:hAnsi="Arial" w:cs="Arial"/>
        </w:rPr>
        <w:t xml:space="preserve">Návrh programu </w:t>
      </w:r>
      <w:r w:rsidRPr="00443D75">
        <w:rPr>
          <w:rFonts w:ascii="Arial" w:eastAsia="Arial" w:hAnsi="Arial" w:cs="Arial"/>
          <w:color w:val="000000"/>
        </w:rPr>
        <w:t>na podporu aplikovaného výzkumu a inovací THÉTA 2 (dále také „program“) předkládá vládě České republiky ke schválení Technologická agentura České republiky (dále také „TA ČR“). Návrh programu je podrobně popsán v části III. T</w:t>
      </w:r>
      <w:r w:rsidRPr="00443D75">
        <w:rPr>
          <w:rFonts w:ascii="Arial" w:eastAsia="Arial" w:hAnsi="Arial" w:cs="Arial"/>
        </w:rPr>
        <w:t>A ČR jej p</w:t>
      </w:r>
      <w:r w:rsidRPr="00443D75">
        <w:rPr>
          <w:rFonts w:ascii="Arial" w:eastAsia="Arial" w:hAnsi="Arial" w:cs="Arial"/>
          <w:color w:val="000000"/>
        </w:rPr>
        <w:t>ředkládá podle § 5 odst. 2 zákona č. 130/2002 Sb. o podpoře výzkumu, experimentálního vývoje a inovací z veřejných prostředků</w:t>
      </w:r>
      <w:r w:rsidRPr="00443D75">
        <w:rPr>
          <w:rFonts w:ascii="Arial" w:eastAsia="Arial" w:hAnsi="Arial" w:cs="Arial"/>
        </w:rPr>
        <w:t xml:space="preserve"> </w:t>
      </w:r>
      <w:r w:rsidRPr="00443D75">
        <w:rPr>
          <w:rFonts w:ascii="Arial" w:eastAsia="Arial" w:hAnsi="Arial" w:cs="Arial"/>
          <w:color w:val="000000"/>
        </w:rPr>
        <w:t>a o změně některých souvisejících zákonů ve znění pozdějších předpisů. </w:t>
      </w:r>
    </w:p>
    <w:p w14:paraId="1D332C8A" w14:textId="01174731" w:rsidR="0033214F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Program THÉTA 2 vznikl v rámci pracovní skupiny, kterou</w:t>
      </w:r>
      <w:r w:rsidR="0033214F" w:rsidRPr="00443D75">
        <w:rPr>
          <w:rFonts w:ascii="Arial" w:eastAsia="Arial" w:hAnsi="Arial" w:cs="Arial"/>
        </w:rPr>
        <w:t xml:space="preserve"> (mimo zástupců TA ČR)</w:t>
      </w:r>
      <w:r w:rsidRPr="00443D75">
        <w:rPr>
          <w:rFonts w:ascii="Arial" w:eastAsia="Arial" w:hAnsi="Arial" w:cs="Arial"/>
        </w:rPr>
        <w:t xml:space="preserve"> </w:t>
      </w:r>
      <w:proofErr w:type="gramStart"/>
      <w:r w:rsidRPr="00443D75">
        <w:rPr>
          <w:rFonts w:ascii="Arial" w:eastAsia="Arial" w:hAnsi="Arial" w:cs="Arial"/>
        </w:rPr>
        <w:t>tvoří</w:t>
      </w:r>
      <w:proofErr w:type="gramEnd"/>
      <w:r w:rsidRPr="00443D75">
        <w:rPr>
          <w:rFonts w:ascii="Arial" w:eastAsia="Arial" w:hAnsi="Arial" w:cs="Arial"/>
        </w:rPr>
        <w:t xml:space="preserve"> zástupci Ministerstva průmyslu a obchodu, dalších resortů</w:t>
      </w:r>
      <w:r w:rsidR="0033214F" w:rsidRPr="00443D75">
        <w:rPr>
          <w:rStyle w:val="Znakapoznpodarou"/>
          <w:rFonts w:ascii="Arial" w:eastAsia="Arial" w:hAnsi="Arial" w:cs="Arial"/>
        </w:rPr>
        <w:footnoteReference w:id="1"/>
      </w:r>
      <w:r w:rsidRPr="00443D75">
        <w:rPr>
          <w:rFonts w:ascii="Arial" w:eastAsia="Arial" w:hAnsi="Arial" w:cs="Arial"/>
        </w:rPr>
        <w:t xml:space="preserve"> a nezávislých expertů</w:t>
      </w:r>
      <w:r w:rsidR="0033214F" w:rsidRPr="00443D75">
        <w:rPr>
          <w:rStyle w:val="Znakapoznpodarou"/>
          <w:rFonts w:ascii="Arial" w:eastAsia="Arial" w:hAnsi="Arial" w:cs="Arial"/>
        </w:rPr>
        <w:footnoteReference w:id="2"/>
      </w:r>
      <w:r w:rsidRPr="00443D75">
        <w:rPr>
          <w:rFonts w:ascii="Arial" w:eastAsia="Arial" w:hAnsi="Arial" w:cs="Arial"/>
        </w:rPr>
        <w:t xml:space="preserve"> z</w:t>
      </w:r>
      <w:r w:rsidR="00BB1F34" w:rsidRPr="00443D75">
        <w:rPr>
          <w:rFonts w:ascii="Arial" w:eastAsia="Arial" w:hAnsi="Arial" w:cs="Arial"/>
        </w:rPr>
        <w:t> oblasti energetiky</w:t>
      </w:r>
      <w:r w:rsidRPr="00443D75">
        <w:rPr>
          <w:rFonts w:ascii="Arial" w:eastAsia="Arial" w:hAnsi="Arial" w:cs="Arial"/>
        </w:rPr>
        <w:t>.</w:t>
      </w:r>
      <w:r w:rsidR="0033214F" w:rsidRPr="00443D75">
        <w:rPr>
          <w:rFonts w:ascii="Arial" w:eastAsia="Arial" w:hAnsi="Arial" w:cs="Arial"/>
        </w:rPr>
        <w:t xml:space="preserve"> Členové skupiny byli součástí již pracovní skupiny předcházejícího programu THÉTA a na přípravě navazujícího programu se podílela od jeho počátku – při nastavování parametrů programu i tvorbě s ním spojených materiálů.</w:t>
      </w:r>
      <w:r w:rsidRPr="00443D75">
        <w:rPr>
          <w:rFonts w:ascii="Arial" w:eastAsia="Arial" w:hAnsi="Arial" w:cs="Arial"/>
        </w:rPr>
        <w:t xml:space="preserve"> </w:t>
      </w:r>
    </w:p>
    <w:p w14:paraId="00000003" w14:textId="4217916F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Jde o program orientovaný na podporu aplikovaného výzkumu a inovací v energetice a bezprostředně navazuje na program THÉTA. Jeho zaměření je poměrně široké a postihuje oblasti nakládání se všemi relevantními druhy energie v příslušných sektorech včetně sektorových propojení (tzv. </w:t>
      </w:r>
      <w:proofErr w:type="spellStart"/>
      <w:r w:rsidRPr="00443D75">
        <w:rPr>
          <w:rFonts w:ascii="Arial" w:eastAsia="Arial" w:hAnsi="Arial" w:cs="Arial"/>
        </w:rPr>
        <w:t>sector</w:t>
      </w:r>
      <w:proofErr w:type="spellEnd"/>
      <w:r w:rsidRPr="00443D75">
        <w:rPr>
          <w:rFonts w:ascii="Arial" w:eastAsia="Arial" w:hAnsi="Arial" w:cs="Arial"/>
        </w:rPr>
        <w:t xml:space="preserve"> </w:t>
      </w:r>
      <w:proofErr w:type="spellStart"/>
      <w:r w:rsidRPr="00443D75">
        <w:rPr>
          <w:rFonts w:ascii="Arial" w:eastAsia="Arial" w:hAnsi="Arial" w:cs="Arial"/>
        </w:rPr>
        <w:t>coupling</w:t>
      </w:r>
      <w:proofErr w:type="spellEnd"/>
      <w:r w:rsidRPr="00443D75">
        <w:rPr>
          <w:rFonts w:ascii="Arial" w:eastAsia="Arial" w:hAnsi="Arial" w:cs="Arial"/>
        </w:rPr>
        <w:t>) a mezioborových aspektů. Zahrnuje propojení jak na technické úrovni (např. interakce a propojení energetiky s jinými obory typu nakládání s odpady či vodou v</w:t>
      </w:r>
      <w:r w:rsidR="004C238C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krajině), tak na úrovni společenské (např. změny chování spotřebitelů). Zohledňuje všechny potřebné dimenze energetiky, od úrovně celostátních energetických systémů až po lokální řešení.</w:t>
      </w:r>
    </w:p>
    <w:p w14:paraId="00000004" w14:textId="2F46968F" w:rsidR="00967B4D" w:rsidRPr="00443D75" w:rsidRDefault="001F5B53" w:rsidP="00BB1F34">
      <w:pPr>
        <w:widowControl w:val="0"/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Program je realizován v souladu s klíčovými národními strategickými dokumenty v oblasti </w:t>
      </w:r>
      <w:proofErr w:type="spellStart"/>
      <w:r w:rsidRPr="00443D75">
        <w:rPr>
          <w:rFonts w:ascii="Arial" w:eastAsia="Arial" w:hAnsi="Arial" w:cs="Arial"/>
        </w:rPr>
        <w:t>VaVaI</w:t>
      </w:r>
      <w:proofErr w:type="spellEnd"/>
      <w:r w:rsidRPr="00443D75">
        <w:rPr>
          <w:rFonts w:ascii="Arial" w:eastAsia="Arial" w:hAnsi="Arial" w:cs="Arial"/>
        </w:rPr>
        <w:t>, aktuálně platnými v době vyhlašování jednotlivých veřejných soutěží</w:t>
      </w:r>
      <w:r w:rsidR="00BB1F34" w:rsidRPr="00443D75">
        <w:rPr>
          <w:rFonts w:ascii="Arial" w:eastAsia="Arial" w:hAnsi="Arial" w:cs="Arial"/>
        </w:rPr>
        <w:t>,</w:t>
      </w:r>
      <w:r w:rsidRPr="00443D75">
        <w:rPr>
          <w:rFonts w:ascii="Arial" w:eastAsia="Arial" w:hAnsi="Arial" w:cs="Arial"/>
        </w:rPr>
        <w:t xml:space="preserve"> a přispívá k jejich naplnění </w:t>
      </w:r>
      <w:r w:rsidR="00130755" w:rsidRPr="00443D75">
        <w:rPr>
          <w:rFonts w:ascii="Arial" w:eastAsia="Arial" w:hAnsi="Arial" w:cs="Arial"/>
        </w:rPr>
        <w:t>–</w:t>
      </w:r>
      <w:r w:rsidRPr="00443D75">
        <w:rPr>
          <w:rFonts w:ascii="Arial" w:eastAsia="Arial" w:hAnsi="Arial" w:cs="Arial"/>
        </w:rPr>
        <w:t xml:space="preserve"> </w:t>
      </w:r>
      <w:r w:rsidR="00BB1F34" w:rsidRPr="00443D75">
        <w:rPr>
          <w:rFonts w:ascii="Arial" w:eastAsia="Arial" w:hAnsi="Arial" w:cs="Arial"/>
        </w:rPr>
        <w:t xml:space="preserve">např. </w:t>
      </w:r>
      <w:r w:rsidRPr="00443D75">
        <w:rPr>
          <w:rFonts w:ascii="Arial" w:eastAsia="Arial" w:hAnsi="Arial" w:cs="Arial"/>
        </w:rPr>
        <w:t>Národní politika výzkumu, vývoje a inovací ČR 2021+, Inovační strategie ČR 2019–2030, Národní RIS3 strategie, Strategie rámce hospodářské restrukturalizace Ústeckého, Moravskoslezského a Karlovarského kraje. Koncepce programu</w:t>
      </w:r>
      <w:r w:rsidR="002D11F6" w:rsidRPr="00443D75">
        <w:rPr>
          <w:rFonts w:ascii="Arial" w:eastAsia="Arial" w:hAnsi="Arial" w:cs="Arial"/>
        </w:rPr>
        <w:t xml:space="preserve"> dále</w:t>
      </w:r>
      <w:r w:rsidRPr="00443D75">
        <w:rPr>
          <w:rFonts w:ascii="Arial" w:eastAsia="Arial" w:hAnsi="Arial" w:cs="Arial"/>
        </w:rPr>
        <w:t xml:space="preserve"> napomáhá k</w:t>
      </w:r>
      <w:r w:rsidR="004C238C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naplňování cílů a dílčích implementačních strategií České republiky v oblasti energetiky. Stejně jako předcházející program </w:t>
      </w:r>
      <w:r w:rsidR="00BB1F34" w:rsidRPr="00443D75">
        <w:rPr>
          <w:rFonts w:ascii="Arial" w:eastAsia="Arial" w:hAnsi="Arial" w:cs="Arial"/>
        </w:rPr>
        <w:t xml:space="preserve">(THÉTA) </w:t>
      </w:r>
      <w:r w:rsidRPr="00443D75">
        <w:rPr>
          <w:rFonts w:ascii="Arial" w:eastAsia="Arial" w:hAnsi="Arial" w:cs="Arial"/>
        </w:rPr>
        <w:t>navazuje THÉTA 2 na </w:t>
      </w:r>
      <w:r w:rsidRPr="00443D75">
        <w:rPr>
          <w:rFonts w:ascii="Arial" w:eastAsia="Arial" w:hAnsi="Arial" w:cs="Arial"/>
          <w:b/>
        </w:rPr>
        <w:t xml:space="preserve">Státní energetickou koncepci ČR </w:t>
      </w:r>
      <w:r w:rsidRPr="00443D75">
        <w:rPr>
          <w:rFonts w:ascii="Arial" w:eastAsia="Arial" w:hAnsi="Arial" w:cs="Arial"/>
        </w:rPr>
        <w:t>(SEK ČR), která stanovuje priority a strategické záměry státu v sektoru energetiky a opatření, jak těchto cílů dosáhnout. Na rok 2023 je plánována její aktualizace a</w:t>
      </w:r>
      <w:r w:rsidR="004C238C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program umožní implementovat i tuto aktualizovanou verzi v souladu se závěry z jednání s</w:t>
      </w:r>
      <w:r w:rsidR="004C238C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autory koncepce z Ministerstva průmyslu a obchodu. Dále bude napomáhat k optimálnímu plnění mezinárodních dohod a strategií, jichž je ČR součástí. Příkladem jde o tzv. Pařížskou dohodu</w:t>
      </w:r>
      <w:r w:rsidRPr="00443D75">
        <w:rPr>
          <w:rFonts w:ascii="Arial" w:eastAsia="Arial" w:hAnsi="Arial" w:cs="Arial"/>
          <w:vertAlign w:val="superscript"/>
        </w:rPr>
        <w:footnoteReference w:id="3"/>
      </w:r>
      <w:r w:rsidRPr="00443D75">
        <w:rPr>
          <w:rFonts w:ascii="Arial" w:eastAsia="Arial" w:hAnsi="Arial" w:cs="Arial"/>
        </w:rPr>
        <w:t xml:space="preserve"> či nadstavbovou vizi (schválenou v roce 2019) dosažení bezemisní ekonomiky do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roku 2050 (tzv. </w:t>
      </w:r>
      <w:r w:rsidRPr="00443D75">
        <w:rPr>
          <w:rFonts w:ascii="Arial" w:eastAsia="Arial" w:hAnsi="Arial" w:cs="Arial"/>
          <w:b/>
        </w:rPr>
        <w:t>Zelená dohoda pro Evropu</w:t>
      </w:r>
      <w:r w:rsidRPr="00443D75">
        <w:rPr>
          <w:rFonts w:ascii="Arial" w:eastAsia="Arial" w:hAnsi="Arial" w:cs="Arial"/>
        </w:rPr>
        <w:t xml:space="preserve">). Program THÉTA 2 navazuje na aktivity </w:t>
      </w:r>
      <w:r w:rsidRPr="00443D75">
        <w:rPr>
          <w:rFonts w:ascii="Arial" w:eastAsia="Arial" w:hAnsi="Arial" w:cs="Arial"/>
        </w:rPr>
        <w:lastRenderedPageBreak/>
        <w:t>a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priority </w:t>
      </w:r>
      <w:r w:rsidRPr="00443D75">
        <w:rPr>
          <w:rFonts w:ascii="Arial" w:eastAsia="Arial" w:hAnsi="Arial" w:cs="Arial"/>
          <w:b/>
        </w:rPr>
        <w:t>Evropského strategického plánu pro energetické technologie (SET</w:t>
      </w:r>
      <w:r w:rsidR="00BB1F34" w:rsidRPr="00443D75">
        <w:rPr>
          <w:rFonts w:ascii="Arial" w:eastAsia="Arial" w:hAnsi="Arial" w:cs="Arial"/>
          <w:b/>
        </w:rPr>
        <w:t xml:space="preserve"> </w:t>
      </w:r>
      <w:proofErr w:type="spellStart"/>
      <w:r w:rsidRPr="00443D75">
        <w:rPr>
          <w:rFonts w:ascii="Arial" w:eastAsia="Arial" w:hAnsi="Arial" w:cs="Arial"/>
          <w:b/>
        </w:rPr>
        <w:t>Plan</w:t>
      </w:r>
      <w:proofErr w:type="spellEnd"/>
      <w:r w:rsidRPr="00443D75">
        <w:rPr>
          <w:rFonts w:ascii="Arial" w:eastAsia="Arial" w:hAnsi="Arial" w:cs="Arial"/>
          <w:b/>
        </w:rPr>
        <w:t>)</w:t>
      </w:r>
      <w:r w:rsidRPr="00443D75">
        <w:rPr>
          <w:rFonts w:ascii="Arial" w:eastAsia="Arial" w:hAnsi="Arial" w:cs="Arial"/>
        </w:rPr>
        <w:t>, a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to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především z pohledu priorit a relevantnosti technologií pro ČR.</w:t>
      </w:r>
    </w:p>
    <w:p w14:paraId="00000005" w14:textId="6FA22057" w:rsidR="00967B4D" w:rsidRPr="00443D75" w:rsidRDefault="001F5B53" w:rsidP="00BB1F34">
      <w:pPr>
        <w:widowControl w:val="0"/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Cílem programu THÉTA 2 je prostřednictvím výstupů, výsledků a dopadů z podpořených projektů přispět k</w:t>
      </w:r>
      <w:r w:rsidRPr="00443D75">
        <w:rPr>
          <w:rFonts w:ascii="Arial" w:eastAsia="Arial" w:hAnsi="Arial" w:cs="Arial"/>
          <w:b/>
        </w:rPr>
        <w:t xml:space="preserve"> transformaci a modernizaci energetického sektoru</w:t>
      </w:r>
      <w:r w:rsidRPr="00443D75">
        <w:rPr>
          <w:rFonts w:ascii="Arial" w:eastAsia="Arial" w:hAnsi="Arial" w:cs="Arial"/>
        </w:rPr>
        <w:t>, a to jak přípravou inovativních technologií, technických řešení a přístupů uplatnitelných v energetice, tak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i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tvorbou analýz pro rozhodování v energetice a zkvalitnění regulatorního rámce. </w:t>
      </w:r>
    </w:p>
    <w:p w14:paraId="00000006" w14:textId="77777777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Program bude vytvářet podmínky pro transformaci energetického sektoru formou výzkumu zejména v oblastech: </w:t>
      </w:r>
    </w:p>
    <w:p w14:paraId="00000007" w14:textId="77777777" w:rsidR="00967B4D" w:rsidRPr="00443D75" w:rsidRDefault="001F5B53" w:rsidP="00F828BD">
      <w:pPr>
        <w:pStyle w:val="Odstavecseseznamem"/>
        <w:numPr>
          <w:ilvl w:val="0"/>
          <w:numId w:val="5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klíčových bezemisních technologií, zvláště z pohledu identifikování bariér pro jejich rozvoj a jejich odstranění skrze nástroje dostupné ze strany veřejné správy; </w:t>
      </w:r>
    </w:p>
    <w:p w14:paraId="00000008" w14:textId="0447B0F9" w:rsidR="00967B4D" w:rsidRPr="00443D75" w:rsidRDefault="001F5B53" w:rsidP="00F828BD">
      <w:pPr>
        <w:pStyle w:val="Odstavecseseznamem"/>
        <w:numPr>
          <w:ilvl w:val="0"/>
          <w:numId w:val="5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spolehlivosti a technologického rozvoje bezemisních zdrojů, včetně jaderných zdrojů spolu se souvisejícím výzkumem k naplňování potřeb dozoru nad bezpečným a</w:t>
      </w:r>
      <w:r w:rsidR="00510A37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efektivním fungováním těchto zdrojů; </w:t>
      </w:r>
    </w:p>
    <w:p w14:paraId="00000009" w14:textId="77777777" w:rsidR="00967B4D" w:rsidRPr="00443D75" w:rsidRDefault="001F5B53" w:rsidP="00F828BD">
      <w:pPr>
        <w:pStyle w:val="Odstavecseseznamem"/>
        <w:widowControl w:val="0"/>
        <w:numPr>
          <w:ilvl w:val="0"/>
          <w:numId w:val="5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modelování fungování energetických systémů a jejich rozvoje vzhledem k různým možným scénářům.</w:t>
      </w:r>
    </w:p>
    <w:p w14:paraId="0000000A" w14:textId="7A5BDD8A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Pro účely dosažení cíle je program členěn na tři podprogramy, které se podle zaměření 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rozsahu vzájemně podporují a doplňují:</w:t>
      </w:r>
    </w:p>
    <w:p w14:paraId="0000000B" w14:textId="77777777" w:rsidR="00967B4D" w:rsidRPr="00443D75" w:rsidRDefault="001F5B53" w:rsidP="00F828BD">
      <w:pPr>
        <w:pStyle w:val="Odstavecseseznamem"/>
        <w:numPr>
          <w:ilvl w:val="0"/>
          <w:numId w:val="6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Podprogram 1: </w:t>
      </w:r>
      <w:r w:rsidRPr="00443D75">
        <w:rPr>
          <w:rFonts w:ascii="Arial" w:eastAsia="Arial" w:hAnsi="Arial" w:cs="Arial"/>
          <w:b/>
        </w:rPr>
        <w:t>Výzkum ve veřejném zájmu</w:t>
      </w:r>
    </w:p>
    <w:p w14:paraId="0000000C" w14:textId="77777777" w:rsidR="00967B4D" w:rsidRPr="00443D75" w:rsidRDefault="001F5B53" w:rsidP="00F828BD">
      <w:pPr>
        <w:pStyle w:val="Odstavecseseznamem"/>
        <w:numPr>
          <w:ilvl w:val="0"/>
          <w:numId w:val="6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Podprogram 2: </w:t>
      </w:r>
      <w:r w:rsidRPr="00443D75">
        <w:rPr>
          <w:rFonts w:ascii="Arial" w:eastAsia="Arial" w:hAnsi="Arial" w:cs="Arial"/>
          <w:b/>
        </w:rPr>
        <w:t>Energetické technologie pro konkurenceschopnost</w:t>
      </w:r>
    </w:p>
    <w:p w14:paraId="0000000E" w14:textId="5748DD5D" w:rsidR="00967B4D" w:rsidRPr="00443D75" w:rsidRDefault="001F5B53" w:rsidP="00F828BD">
      <w:pPr>
        <w:pStyle w:val="Odstavecseseznamem"/>
        <w:numPr>
          <w:ilvl w:val="0"/>
          <w:numId w:val="6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Podprogram 3: </w:t>
      </w:r>
      <w:r w:rsidRPr="00443D75">
        <w:rPr>
          <w:rFonts w:ascii="Arial" w:eastAsia="Arial" w:hAnsi="Arial" w:cs="Arial"/>
          <w:b/>
        </w:rPr>
        <w:t>Technologie k zajištění dlouhodobé udržitelnosti energetiky</w:t>
      </w:r>
    </w:p>
    <w:p w14:paraId="0000000F" w14:textId="5C2D5269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 Uvedené podprogramy navazují na podprogramy předcházejícího programu THÉTA 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mají za cíl pokračovat v podpoře typově podobných projektů. Důležité je také posunutí výsledků výzkumu a inovací v tomto oboru blíže k naplňování závazků, které ČR v tomto ohledu má (např. v oblastech dekarbonizace, efektivních “čistých” zdrojů energie, energetické účinnosti apod.). Současně se předpokládá posílení a rozšíření již navázaných vztahů 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spoluprací mezi řešiteli.</w:t>
      </w:r>
    </w:p>
    <w:p w14:paraId="00000010" w14:textId="0A0286AE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  <w:b/>
        </w:rPr>
        <w:t>Doba financování programu je stanovena na období od roku 2024 do roku 2031, tj.</w:t>
      </w:r>
      <w:r w:rsidR="00F828BD" w:rsidRPr="00443D75">
        <w:rPr>
          <w:rFonts w:ascii="Arial" w:eastAsia="Arial" w:hAnsi="Arial" w:cs="Arial"/>
          <w:b/>
        </w:rPr>
        <w:t> </w:t>
      </w:r>
      <w:r w:rsidRPr="00443D75">
        <w:rPr>
          <w:rFonts w:ascii="Arial" w:eastAsia="Arial" w:hAnsi="Arial" w:cs="Arial"/>
          <w:b/>
        </w:rPr>
        <w:t>8</w:t>
      </w:r>
      <w:r w:rsidR="00F828BD" w:rsidRPr="00443D75">
        <w:rPr>
          <w:rFonts w:ascii="Arial" w:eastAsia="Arial" w:hAnsi="Arial" w:cs="Arial"/>
          <w:b/>
        </w:rPr>
        <w:t> </w:t>
      </w:r>
      <w:r w:rsidRPr="00443D75">
        <w:rPr>
          <w:rFonts w:ascii="Arial" w:eastAsia="Arial" w:hAnsi="Arial" w:cs="Arial"/>
          <w:b/>
        </w:rPr>
        <w:t>let.</w:t>
      </w:r>
      <w:r w:rsidRPr="00443D75">
        <w:rPr>
          <w:rFonts w:ascii="Arial" w:eastAsia="Arial" w:hAnsi="Arial" w:cs="Arial"/>
        </w:rPr>
        <w:t xml:space="preserve"> První veřejnou soutěž ve výzkumu, vývoji a inovacích (dále také „veřejná soutěž“) na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výběr projektů předpokládá poskytovatel vyhlásit v roce 2023 se zahájením poskytování podpory od roku 2024. Dobu trvání projektů určí parametry konkrétní veřejné soutěže a jejich ukončení nesmí překročit dobu trvání programu.</w:t>
      </w:r>
    </w:p>
    <w:p w14:paraId="00000011" w14:textId="731A7DED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bookmarkStart w:id="0" w:name="_gjdgxs" w:colFirst="0" w:colLast="0"/>
      <w:bookmarkEnd w:id="0"/>
      <w:r w:rsidRPr="00443D75">
        <w:rPr>
          <w:rFonts w:ascii="Arial" w:eastAsia="Arial" w:hAnsi="Arial" w:cs="Arial"/>
        </w:rPr>
        <w:t xml:space="preserve">Celkové výdaje na program vychází z analýzy absorpční kapacity (součástí dokumentu „Analýza řešené problematiky programu THÉTA 2“), která zohledňuje vyhodnocení dosavadních veřejných soutěží a nové trendy v oblasti energetiky. Roční rozpočty jsou rozvrženy v souladu s postupným vyhlašováním veřejných soutěží. </w:t>
      </w:r>
      <w:r w:rsidR="0033214F" w:rsidRPr="00443D75">
        <w:rPr>
          <w:rFonts w:ascii="Arial" w:eastAsia="Arial" w:hAnsi="Arial" w:cs="Arial"/>
        </w:rPr>
        <w:br/>
      </w:r>
      <w:r w:rsidR="0033214F" w:rsidRPr="00443D75">
        <w:rPr>
          <w:rFonts w:ascii="Arial" w:eastAsia="Arial" w:hAnsi="Arial" w:cs="Arial"/>
        </w:rPr>
        <w:lastRenderedPageBreak/>
        <w:br/>
      </w:r>
      <w:r w:rsidRPr="00443D75">
        <w:rPr>
          <w:rFonts w:ascii="Arial" w:eastAsia="Arial" w:hAnsi="Arial" w:cs="Arial"/>
          <w:b/>
        </w:rPr>
        <w:t>Celkové výdaje ze</w:t>
      </w:r>
      <w:r w:rsidR="00F828BD" w:rsidRPr="00443D75">
        <w:rPr>
          <w:rFonts w:ascii="Arial" w:eastAsia="Arial" w:hAnsi="Arial" w:cs="Arial"/>
          <w:b/>
        </w:rPr>
        <w:t> </w:t>
      </w:r>
      <w:r w:rsidRPr="00443D75">
        <w:rPr>
          <w:rFonts w:ascii="Arial" w:eastAsia="Arial" w:hAnsi="Arial" w:cs="Arial"/>
          <w:b/>
        </w:rPr>
        <w:t>státního rozpočtu se plánují ve výši 7 410 mil. Kč. Výše výdajů z ostatních zdrojů je 3</w:t>
      </w:r>
      <w:r w:rsidR="00862EFD" w:rsidRPr="00443D75">
        <w:rPr>
          <w:rFonts w:ascii="Arial" w:eastAsia="Arial" w:hAnsi="Arial" w:cs="Arial"/>
          <w:b/>
        </w:rPr>
        <w:t> 211,7</w:t>
      </w:r>
      <w:r w:rsidRPr="00443D75">
        <w:rPr>
          <w:rFonts w:ascii="Arial" w:eastAsia="Arial" w:hAnsi="Arial" w:cs="Arial"/>
          <w:b/>
        </w:rPr>
        <w:t xml:space="preserve"> mil. Kč.</w:t>
      </w:r>
      <w:r w:rsidRPr="00443D75">
        <w:rPr>
          <w:rFonts w:ascii="Arial" w:eastAsia="Arial" w:hAnsi="Arial" w:cs="Arial"/>
        </w:rPr>
        <w:t xml:space="preserve"> Předpokládaná maximální intenzita podpory na projekt je 90 %, průměrná intenzita podpory celkově za program je 70 %. </w:t>
      </w:r>
    </w:p>
    <w:p w14:paraId="00000012" w14:textId="77777777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bookmarkStart w:id="1" w:name="_82whulfpc1rq" w:colFirst="0" w:colLast="0"/>
      <w:bookmarkEnd w:id="1"/>
      <w:r w:rsidRPr="00443D75">
        <w:rPr>
          <w:rFonts w:ascii="Arial" w:eastAsia="Arial" w:hAnsi="Arial" w:cs="Arial"/>
        </w:rPr>
        <w:t>Stanovený finanční rámec je úzce spjat s popisem jeho potřebnosti a pokrývá ambice naplňování cílů ČR z již zmíněných dokumentů:</w:t>
      </w:r>
    </w:p>
    <w:p w14:paraId="00000013" w14:textId="77777777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udržet tempo s očekávanou transformací sektoru energetiky EU;</w:t>
      </w:r>
    </w:p>
    <w:p w14:paraId="00000014" w14:textId="42CD6A06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naplnění nejnovějších závazků ČR (Pařížská dohoda, 2017 – udržení nárůstu světové teploty ovzduší výrazně pod dvěma stupni celsia; naplnění legislativního balíčku Fit</w:t>
      </w:r>
      <w:r w:rsidR="00F828BD" w:rsidRPr="00443D75">
        <w:rPr>
          <w:rFonts w:ascii="Arial" w:eastAsia="Arial" w:hAnsi="Arial" w:cs="Arial"/>
        </w:rPr>
        <w:t> </w:t>
      </w:r>
      <w:proofErr w:type="spellStart"/>
      <w:r w:rsidRPr="00443D75">
        <w:rPr>
          <w:rFonts w:ascii="Arial" w:eastAsia="Arial" w:hAnsi="Arial" w:cs="Arial"/>
        </w:rPr>
        <w:t>for</w:t>
      </w:r>
      <w:proofErr w:type="spellEnd"/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55, EK 2021 – snížit do roku 2030 emise skleníkových plynů o 55 % v porovnání s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rokem 1990; cíl EU do roku 2050 – dosažení klimatické neutrality);</w:t>
      </w:r>
    </w:p>
    <w:p w14:paraId="00000015" w14:textId="6122D8C3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zmíněné dosažení klimatické neutrality vyžaduje transformaci značných rozměrů 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rozsáhlý vývoj a výzkum umožňující rozvoj bezemisních technologií a podpůrných technologií;</w:t>
      </w:r>
    </w:p>
    <w:p w14:paraId="00000016" w14:textId="77777777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nutnost významné akcelerace v oblasti výzkumu a vývoje nízkouhlíkových technologií a postupů dle závěrů zprávy IEA „</w:t>
      </w:r>
      <w:proofErr w:type="spellStart"/>
      <w:r w:rsidRPr="00443D75">
        <w:rPr>
          <w:rFonts w:ascii="Arial" w:eastAsia="Arial" w:hAnsi="Arial" w:cs="Arial"/>
        </w:rPr>
        <w:t>Special</w:t>
      </w:r>
      <w:proofErr w:type="spellEnd"/>
      <w:r w:rsidRPr="00443D75">
        <w:rPr>
          <w:rFonts w:ascii="Arial" w:eastAsia="Arial" w:hAnsi="Arial" w:cs="Arial"/>
        </w:rPr>
        <w:t xml:space="preserve"> Report on </w:t>
      </w:r>
      <w:proofErr w:type="spellStart"/>
      <w:r w:rsidRPr="00443D75">
        <w:rPr>
          <w:rFonts w:ascii="Arial" w:eastAsia="Arial" w:hAnsi="Arial" w:cs="Arial"/>
        </w:rPr>
        <w:t>Clean</w:t>
      </w:r>
      <w:proofErr w:type="spellEnd"/>
      <w:r w:rsidRPr="00443D75">
        <w:rPr>
          <w:rFonts w:ascii="Arial" w:eastAsia="Arial" w:hAnsi="Arial" w:cs="Arial"/>
        </w:rPr>
        <w:t xml:space="preserve"> </w:t>
      </w:r>
      <w:proofErr w:type="spellStart"/>
      <w:r w:rsidRPr="00443D75">
        <w:rPr>
          <w:rFonts w:ascii="Arial" w:eastAsia="Arial" w:hAnsi="Arial" w:cs="Arial"/>
        </w:rPr>
        <w:t>Energy</w:t>
      </w:r>
      <w:proofErr w:type="spellEnd"/>
      <w:r w:rsidRPr="00443D75">
        <w:rPr>
          <w:rFonts w:ascii="Arial" w:eastAsia="Arial" w:hAnsi="Arial" w:cs="Arial"/>
        </w:rPr>
        <w:t xml:space="preserve"> Innovation“;</w:t>
      </w:r>
      <w:r w:rsidRPr="00443D75">
        <w:rPr>
          <w:vertAlign w:val="superscript"/>
        </w:rPr>
        <w:footnoteReference w:id="4"/>
      </w:r>
    </w:p>
    <w:p w14:paraId="00000017" w14:textId="77777777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podpořit dostatečný rozvoj jednotlivých klíčových technologií pro dosažení dekarbonizačních cílů („</w:t>
      </w:r>
      <w:proofErr w:type="spellStart"/>
      <w:r w:rsidRPr="00443D75">
        <w:rPr>
          <w:rFonts w:ascii="Arial" w:eastAsia="Arial" w:hAnsi="Arial" w:cs="Arial"/>
        </w:rPr>
        <w:t>Tracking</w:t>
      </w:r>
      <w:proofErr w:type="spellEnd"/>
      <w:r w:rsidRPr="00443D75">
        <w:rPr>
          <w:rFonts w:ascii="Arial" w:eastAsia="Arial" w:hAnsi="Arial" w:cs="Arial"/>
        </w:rPr>
        <w:t xml:space="preserve"> </w:t>
      </w:r>
      <w:proofErr w:type="spellStart"/>
      <w:r w:rsidRPr="00443D75">
        <w:rPr>
          <w:rFonts w:ascii="Arial" w:eastAsia="Arial" w:hAnsi="Arial" w:cs="Arial"/>
        </w:rPr>
        <w:t>clean</w:t>
      </w:r>
      <w:proofErr w:type="spellEnd"/>
      <w:r w:rsidRPr="00443D75">
        <w:rPr>
          <w:rFonts w:ascii="Arial" w:eastAsia="Arial" w:hAnsi="Arial" w:cs="Arial"/>
        </w:rPr>
        <w:t xml:space="preserve"> </w:t>
      </w:r>
      <w:proofErr w:type="spellStart"/>
      <w:r w:rsidRPr="00443D75">
        <w:rPr>
          <w:rFonts w:ascii="Arial" w:eastAsia="Arial" w:hAnsi="Arial" w:cs="Arial"/>
        </w:rPr>
        <w:t>energy</w:t>
      </w:r>
      <w:proofErr w:type="spellEnd"/>
      <w:r w:rsidRPr="00443D75">
        <w:rPr>
          <w:rFonts w:ascii="Arial" w:eastAsia="Arial" w:hAnsi="Arial" w:cs="Arial"/>
        </w:rPr>
        <w:t xml:space="preserve"> </w:t>
      </w:r>
      <w:proofErr w:type="spellStart"/>
      <w:r w:rsidRPr="00443D75">
        <w:rPr>
          <w:rFonts w:ascii="Arial" w:eastAsia="Arial" w:hAnsi="Arial" w:cs="Arial"/>
        </w:rPr>
        <w:t>progress</w:t>
      </w:r>
      <w:proofErr w:type="spellEnd"/>
      <w:r w:rsidRPr="00443D75">
        <w:rPr>
          <w:rFonts w:ascii="Arial" w:eastAsia="Arial" w:hAnsi="Arial" w:cs="Arial"/>
        </w:rPr>
        <w:t>“);</w:t>
      </w:r>
      <w:r w:rsidRPr="00443D75">
        <w:rPr>
          <w:vertAlign w:val="superscript"/>
        </w:rPr>
        <w:footnoteReference w:id="5"/>
      </w:r>
    </w:p>
    <w:p w14:paraId="00000018" w14:textId="564939D2" w:rsidR="00967B4D" w:rsidRPr="00443D75" w:rsidRDefault="001F5B53" w:rsidP="00F828BD">
      <w:pPr>
        <w:pStyle w:val="Odstavecseseznamem"/>
        <w:numPr>
          <w:ilvl w:val="0"/>
          <w:numId w:val="7"/>
        </w:numPr>
        <w:spacing w:after="120" w:line="360" w:lineRule="auto"/>
        <w:ind w:left="709"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budování konkurenceschopnosti podniků v oblasti energetiky.</w:t>
      </w:r>
    </w:p>
    <w:p w14:paraId="00000019" w14:textId="632A8A9D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Evaluační rámec programu předpokládá provedení několika druhů hodnocení v různých obdobích realizace, která se zaměří na samotný program, jeho veřejné soutěže a podpořené projekty. K tomu byly/budou využity následující typy hodnocení, které jsou blíže definovány v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Analýze řešené problematiky (v závorce termín uskutečnění):</w:t>
      </w:r>
    </w:p>
    <w:p w14:paraId="0000001A" w14:textId="1D45DF7D" w:rsidR="00967B4D" w:rsidRPr="00443D75" w:rsidRDefault="004C238C" w:rsidP="00F828BD">
      <w:pPr>
        <w:pStyle w:val="Odstavecseseznamem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09"/>
        <w:jc w:val="both"/>
        <w:rPr>
          <w:rFonts w:ascii="Arial" w:eastAsia="Arial" w:hAnsi="Arial" w:cs="Arial"/>
          <w:b/>
          <w:i/>
          <w:color w:val="000000"/>
        </w:rPr>
      </w:pPr>
      <w:r w:rsidRPr="00443D75">
        <w:rPr>
          <w:rFonts w:ascii="Arial" w:eastAsia="Arial" w:hAnsi="Arial" w:cs="Arial"/>
          <w:b/>
          <w:color w:val="000000"/>
        </w:rPr>
        <w:t>e</w:t>
      </w:r>
      <w:r w:rsidR="001F5B53" w:rsidRPr="00443D75">
        <w:rPr>
          <w:rFonts w:ascii="Arial" w:eastAsia="Arial" w:hAnsi="Arial" w:cs="Arial"/>
          <w:b/>
          <w:color w:val="000000"/>
        </w:rPr>
        <w:t>x-ante hodnocení programu (</w:t>
      </w:r>
      <w:r w:rsidR="001F5B53" w:rsidRPr="00443D75">
        <w:rPr>
          <w:rFonts w:ascii="Arial" w:eastAsia="Arial" w:hAnsi="Arial" w:cs="Arial"/>
          <w:b/>
        </w:rPr>
        <w:t>06/08</w:t>
      </w:r>
      <w:r w:rsidR="001F5B53" w:rsidRPr="00443D75">
        <w:rPr>
          <w:rFonts w:ascii="Arial" w:eastAsia="Arial" w:hAnsi="Arial" w:cs="Arial"/>
          <w:b/>
          <w:color w:val="000000"/>
        </w:rPr>
        <w:t xml:space="preserve"> 2022)</w:t>
      </w:r>
      <w:r w:rsidR="001F5B53" w:rsidRPr="00443D75">
        <w:rPr>
          <w:b/>
          <w:color w:val="000000"/>
          <w:vertAlign w:val="superscript"/>
        </w:rPr>
        <w:footnoteReference w:id="6"/>
      </w:r>
      <w:r w:rsidR="001F5B53" w:rsidRPr="00443D75">
        <w:rPr>
          <w:rFonts w:ascii="Arial" w:eastAsia="Arial" w:hAnsi="Arial" w:cs="Arial"/>
          <w:b/>
        </w:rPr>
        <w:t xml:space="preserve"> </w:t>
      </w:r>
      <w:r w:rsidR="00B275A6" w:rsidRPr="00443D75">
        <w:rPr>
          <w:rFonts w:ascii="Arial" w:eastAsia="Arial" w:hAnsi="Arial" w:cs="Arial"/>
        </w:rPr>
        <w:t>–</w:t>
      </w:r>
      <w:r w:rsidR="001F5B53" w:rsidRPr="00443D75">
        <w:rPr>
          <w:rFonts w:ascii="Arial" w:eastAsia="Arial" w:hAnsi="Arial" w:cs="Arial"/>
        </w:rPr>
        <w:t xml:space="preserve"> vzniklá doporučení byla v návrhu programu zohledněna, též byla detailněji rozpracována intervenční logika programu a</w:t>
      </w:r>
      <w:r w:rsidR="00F828BD" w:rsidRPr="00443D75">
        <w:rPr>
          <w:rFonts w:ascii="Arial" w:eastAsia="Arial" w:hAnsi="Arial" w:cs="Arial"/>
        </w:rPr>
        <w:t> </w:t>
      </w:r>
      <w:r w:rsidR="001F5B53" w:rsidRPr="00443D75">
        <w:rPr>
          <w:rFonts w:ascii="Arial" w:eastAsia="Arial" w:hAnsi="Arial" w:cs="Arial"/>
        </w:rPr>
        <w:t>doplněn evaluační rámec</w:t>
      </w:r>
      <w:r w:rsidRPr="00443D75">
        <w:rPr>
          <w:rFonts w:ascii="Arial" w:eastAsia="Arial" w:hAnsi="Arial" w:cs="Arial"/>
        </w:rPr>
        <w:t>;</w:t>
      </w:r>
      <w:r w:rsidR="001F5B53" w:rsidRPr="00443D75">
        <w:rPr>
          <w:rFonts w:ascii="Arial" w:eastAsia="Arial" w:hAnsi="Arial" w:cs="Arial"/>
        </w:rPr>
        <w:t xml:space="preserve"> </w:t>
      </w:r>
    </w:p>
    <w:p w14:paraId="0000001B" w14:textId="54C4FF92" w:rsidR="00967B4D" w:rsidRPr="00443D75" w:rsidRDefault="004C238C" w:rsidP="00F828BD">
      <w:pPr>
        <w:pStyle w:val="Odstavecseseznamem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09"/>
        <w:jc w:val="both"/>
        <w:rPr>
          <w:rFonts w:ascii="Arial" w:eastAsia="Arial" w:hAnsi="Arial" w:cs="Arial"/>
          <w:b/>
          <w:color w:val="000000"/>
        </w:rPr>
      </w:pPr>
      <w:r w:rsidRPr="00443D75">
        <w:rPr>
          <w:rFonts w:ascii="Arial" w:eastAsia="Arial" w:hAnsi="Arial" w:cs="Arial"/>
          <w:b/>
          <w:color w:val="000000"/>
        </w:rPr>
        <w:t>p</w:t>
      </w:r>
      <w:r w:rsidR="001F5B53" w:rsidRPr="00443D75">
        <w:rPr>
          <w:rFonts w:ascii="Arial" w:eastAsia="Arial" w:hAnsi="Arial" w:cs="Arial"/>
          <w:b/>
          <w:color w:val="000000"/>
        </w:rPr>
        <w:t>růběžné hodnocení programu (2</w:t>
      </w:r>
      <w:r w:rsidR="001F5B53" w:rsidRPr="00443D75">
        <w:rPr>
          <w:rFonts w:ascii="Arial" w:eastAsia="Arial" w:hAnsi="Arial" w:cs="Arial"/>
          <w:b/>
        </w:rPr>
        <w:t>026);</w:t>
      </w:r>
    </w:p>
    <w:p w14:paraId="0000001C" w14:textId="5F378852" w:rsidR="00967B4D" w:rsidRPr="00443D75" w:rsidRDefault="004C238C" w:rsidP="00F828BD">
      <w:pPr>
        <w:pStyle w:val="Odstavecseseznamem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09"/>
        <w:jc w:val="both"/>
        <w:rPr>
          <w:rFonts w:ascii="Arial" w:eastAsia="Arial" w:hAnsi="Arial" w:cs="Arial"/>
          <w:b/>
          <w:color w:val="000000"/>
        </w:rPr>
      </w:pPr>
      <w:r w:rsidRPr="00443D75">
        <w:rPr>
          <w:rFonts w:ascii="Arial" w:eastAsia="Arial" w:hAnsi="Arial" w:cs="Arial"/>
          <w:b/>
          <w:color w:val="000000"/>
        </w:rPr>
        <w:t>z</w:t>
      </w:r>
      <w:r w:rsidR="001F5B53" w:rsidRPr="00443D75">
        <w:rPr>
          <w:rFonts w:ascii="Arial" w:eastAsia="Arial" w:hAnsi="Arial" w:cs="Arial"/>
          <w:b/>
          <w:color w:val="000000"/>
        </w:rPr>
        <w:t xml:space="preserve">ávěrečné hodnocení programu </w:t>
      </w:r>
      <w:r w:rsidR="001F5B53" w:rsidRPr="00443D75">
        <w:rPr>
          <w:rFonts w:ascii="Arial" w:eastAsia="Arial" w:hAnsi="Arial" w:cs="Arial"/>
          <w:b/>
        </w:rPr>
        <w:t>(</w:t>
      </w:r>
      <w:r w:rsidR="001F5B53" w:rsidRPr="00443D75">
        <w:rPr>
          <w:rFonts w:ascii="Arial" w:eastAsia="Arial" w:hAnsi="Arial" w:cs="Arial"/>
          <w:b/>
          <w:color w:val="000000"/>
        </w:rPr>
        <w:t>2032);</w:t>
      </w:r>
    </w:p>
    <w:p w14:paraId="0000001D" w14:textId="6BFB48CF" w:rsidR="00967B4D" w:rsidRPr="00443D75" w:rsidRDefault="004C238C" w:rsidP="00F828BD">
      <w:pPr>
        <w:pStyle w:val="Odstavecseseznamem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09"/>
        <w:jc w:val="both"/>
        <w:rPr>
          <w:rFonts w:ascii="Arial" w:eastAsia="Arial" w:hAnsi="Arial" w:cs="Arial"/>
          <w:b/>
        </w:rPr>
      </w:pPr>
      <w:r w:rsidRPr="00443D75">
        <w:rPr>
          <w:rFonts w:ascii="Arial" w:eastAsia="Arial" w:hAnsi="Arial" w:cs="Arial"/>
          <w:b/>
        </w:rPr>
        <w:t>h</w:t>
      </w:r>
      <w:r w:rsidR="001F5B53" w:rsidRPr="00443D75">
        <w:rPr>
          <w:rFonts w:ascii="Arial" w:eastAsia="Arial" w:hAnsi="Arial" w:cs="Arial"/>
          <w:b/>
        </w:rPr>
        <w:t>odnocení dopadů programu (2036).</w:t>
      </w:r>
    </w:p>
    <w:p w14:paraId="0000001E" w14:textId="793B4212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 xml:space="preserve">V souladu s dokumentem Postup Rady při hodnocení návrhů programů účelové podpory a skupin grantových projektů schváleném na 351. zasedání dne 29. listopadu 2019 předložila TA ČR návrh programu THÉTA 2 také dvěma posuzovatelům k provedení expertního </w:t>
      </w:r>
      <w:r w:rsidRPr="00443D75">
        <w:rPr>
          <w:rFonts w:ascii="Arial" w:eastAsia="Arial" w:hAnsi="Arial" w:cs="Arial"/>
        </w:rPr>
        <w:lastRenderedPageBreak/>
        <w:t xml:space="preserve">posouzení dle kontrolního listu. Kontrolní list byl postoupen k vyplnění zhotoviteli ex-ante hodnocení (Technologické centrum Akademie věd České republiky) a dalšímu externímu expertovi (doc. Ing. Jiří </w:t>
      </w:r>
      <w:proofErr w:type="spellStart"/>
      <w:r w:rsidRPr="00443D75">
        <w:rPr>
          <w:rFonts w:ascii="Arial" w:eastAsia="Arial" w:hAnsi="Arial" w:cs="Arial"/>
        </w:rPr>
        <w:t>Krechl</w:t>
      </w:r>
      <w:proofErr w:type="spellEnd"/>
      <w:r w:rsidRPr="00443D75">
        <w:rPr>
          <w:rFonts w:ascii="Arial" w:eastAsia="Arial" w:hAnsi="Arial" w:cs="Arial"/>
        </w:rPr>
        <w:t>, CSc.). Na základě posouzení a vyplnění kontrolního listu získal program THÉTA 2 v obou případech přes 90 % bodů (hranice pro doporučení programu k</w:t>
      </w:r>
      <w:r w:rsidR="00E346E5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realizaci je 79 %).</w:t>
      </w:r>
    </w:p>
    <w:p w14:paraId="0000001F" w14:textId="5C761337" w:rsidR="00967B4D" w:rsidRPr="00443D75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Předkládaná verze návrhu programu obsahuje úpravu, ke které došlo během interního procesu schvalování programu, a to vyjmutí čtvrtého podprogramu zaměřeného na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>mezinárodní spolupráci a přesun jeho agendy do programu SIGMA. Ex-ante analýza a</w:t>
      </w:r>
      <w:r w:rsidR="00F828BD" w:rsidRPr="00443D75">
        <w:rPr>
          <w:rFonts w:ascii="Arial" w:eastAsia="Arial" w:hAnsi="Arial" w:cs="Arial"/>
        </w:rPr>
        <w:t> </w:t>
      </w:r>
      <w:r w:rsidRPr="00443D75">
        <w:rPr>
          <w:rFonts w:ascii="Arial" w:eastAsia="Arial" w:hAnsi="Arial" w:cs="Arial"/>
        </w:rPr>
        <w:t xml:space="preserve">kontrolní listy </w:t>
      </w:r>
      <w:r w:rsidR="00F105AC" w:rsidRPr="00443D75">
        <w:rPr>
          <w:rFonts w:ascii="Arial" w:eastAsia="Arial" w:hAnsi="Arial" w:cs="Arial"/>
        </w:rPr>
        <w:t xml:space="preserve">ještě </w:t>
      </w:r>
      <w:r w:rsidRPr="00443D75">
        <w:rPr>
          <w:rFonts w:ascii="Arial" w:eastAsia="Arial" w:hAnsi="Arial" w:cs="Arial"/>
        </w:rPr>
        <w:t xml:space="preserve">odpovídají verzi, ve které čtvrtý podprogram figuroval. S povahou doporučení z ex-ante evaluace a hodnocení v kontrolním listu to není třeba chápat jako závažnou změnu, ale spíše vzít na zřetel v případě drobných nesrovnalostí ve zmíněných hodnoticích dokumentech. </w:t>
      </w:r>
    </w:p>
    <w:p w14:paraId="00000020" w14:textId="77777777" w:rsidR="00967B4D" w:rsidRDefault="001F5B53" w:rsidP="00BB1F34">
      <w:pPr>
        <w:spacing w:after="120" w:line="360" w:lineRule="auto"/>
        <w:ind w:firstLine="426"/>
        <w:contextualSpacing/>
        <w:jc w:val="both"/>
        <w:rPr>
          <w:rFonts w:ascii="Arial" w:eastAsia="Arial" w:hAnsi="Arial" w:cs="Arial"/>
        </w:rPr>
      </w:pPr>
      <w:r w:rsidRPr="00443D75">
        <w:rPr>
          <w:rFonts w:ascii="Arial" w:eastAsia="Arial" w:hAnsi="Arial" w:cs="Arial"/>
        </w:rPr>
        <w:t>Program nemá negativní dopad na podnikatelské prostředí, sociální oblast, životní prostředí ani na rovné postavení mužů a žen. Jeho financování bude zajištěno dle možností státního rozpočtu.</w:t>
      </w:r>
    </w:p>
    <w:sectPr w:rsidR="00967B4D" w:rsidSect="003A5DA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4901" w14:textId="77777777" w:rsidR="00E31A07" w:rsidRDefault="00E31A07">
      <w:pPr>
        <w:spacing w:after="0" w:line="240" w:lineRule="auto"/>
      </w:pPr>
      <w:r>
        <w:separator/>
      </w:r>
    </w:p>
  </w:endnote>
  <w:endnote w:type="continuationSeparator" w:id="0">
    <w:p w14:paraId="5A92DBDC" w14:textId="77777777" w:rsidR="00E31A07" w:rsidRDefault="00E3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D43F4AC" w:rsidR="00967B4D" w:rsidRDefault="001F5B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0755">
      <w:rPr>
        <w:noProof/>
        <w:color w:val="000000"/>
      </w:rPr>
      <w:t>1</w:t>
    </w:r>
    <w:r>
      <w:rPr>
        <w:color w:val="000000"/>
      </w:rPr>
      <w:fldChar w:fldCharType="end"/>
    </w:r>
  </w:p>
  <w:p w14:paraId="00000022" w14:textId="77777777" w:rsidR="00967B4D" w:rsidRDefault="00967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F7FF" w14:textId="77777777" w:rsidR="00E31A07" w:rsidRDefault="00E31A07">
      <w:pPr>
        <w:spacing w:after="0" w:line="240" w:lineRule="auto"/>
      </w:pPr>
      <w:r>
        <w:separator/>
      </w:r>
    </w:p>
  </w:footnote>
  <w:footnote w:type="continuationSeparator" w:id="0">
    <w:p w14:paraId="4C6F2AD7" w14:textId="77777777" w:rsidR="00E31A07" w:rsidRDefault="00E31A07">
      <w:pPr>
        <w:spacing w:after="0" w:line="240" w:lineRule="auto"/>
      </w:pPr>
      <w:r>
        <w:continuationSeparator/>
      </w:r>
    </w:p>
  </w:footnote>
  <w:footnote w:id="1">
    <w:p w14:paraId="2C29C07D" w14:textId="5F9EADE1" w:rsidR="0033214F" w:rsidRPr="00443D75" w:rsidRDefault="0033214F">
      <w:pPr>
        <w:pStyle w:val="Textpoznpodarou"/>
        <w:rPr>
          <w:rFonts w:ascii="Arial" w:hAnsi="Arial" w:cs="Arial"/>
          <w:sz w:val="16"/>
          <w:szCs w:val="16"/>
        </w:rPr>
      </w:pPr>
      <w:r w:rsidRPr="00443D75">
        <w:rPr>
          <w:rStyle w:val="Znakapoznpodarou"/>
          <w:rFonts w:ascii="Arial" w:hAnsi="Arial" w:cs="Arial"/>
          <w:sz w:val="16"/>
          <w:szCs w:val="16"/>
        </w:rPr>
        <w:footnoteRef/>
      </w:r>
      <w:r w:rsidRPr="00443D75">
        <w:rPr>
          <w:rFonts w:ascii="Arial" w:hAnsi="Arial" w:cs="Arial"/>
          <w:sz w:val="16"/>
          <w:szCs w:val="16"/>
        </w:rPr>
        <w:t xml:space="preserve"> Státní úřad pro jadernou bezpečnost, Energetický regulační úřad a Ministerstvo životního prostředí.</w:t>
      </w:r>
    </w:p>
  </w:footnote>
  <w:footnote w:id="2">
    <w:p w14:paraId="4D01E67C" w14:textId="67E1741A" w:rsidR="0033214F" w:rsidRPr="00443D75" w:rsidRDefault="0033214F">
      <w:pPr>
        <w:pStyle w:val="Textpoznpodarou"/>
        <w:rPr>
          <w:rFonts w:ascii="Arial" w:hAnsi="Arial" w:cs="Arial"/>
          <w:sz w:val="16"/>
          <w:szCs w:val="16"/>
        </w:rPr>
      </w:pPr>
      <w:r w:rsidRPr="00443D75">
        <w:rPr>
          <w:rStyle w:val="Znakapoznpodarou"/>
          <w:rFonts w:ascii="Arial" w:hAnsi="Arial" w:cs="Arial"/>
          <w:sz w:val="16"/>
          <w:szCs w:val="16"/>
        </w:rPr>
        <w:footnoteRef/>
      </w:r>
      <w:r w:rsidRPr="00443D75">
        <w:rPr>
          <w:rFonts w:ascii="Arial" w:hAnsi="Arial" w:cs="Arial"/>
          <w:sz w:val="16"/>
          <w:szCs w:val="16"/>
        </w:rPr>
        <w:t xml:space="preserve"> Např. z Technologické platformy „Udržitelná energetika ČR“.</w:t>
      </w:r>
    </w:p>
  </w:footnote>
  <w:footnote w:id="3">
    <w:p w14:paraId="00000023" w14:textId="77777777" w:rsidR="00967B4D" w:rsidRPr="00F828BD" w:rsidRDefault="001F5B5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43D75">
        <w:rPr>
          <w:rFonts w:ascii="Arial" w:hAnsi="Arial" w:cs="Arial"/>
          <w:sz w:val="16"/>
          <w:szCs w:val="16"/>
          <w:vertAlign w:val="superscript"/>
        </w:rPr>
        <w:footnoteRef/>
      </w:r>
      <w:r w:rsidRPr="00443D75">
        <w:rPr>
          <w:rFonts w:ascii="Arial" w:hAnsi="Arial" w:cs="Arial"/>
          <w:sz w:val="16"/>
          <w:szCs w:val="16"/>
        </w:rPr>
        <w:t xml:space="preserve"> Jakožto součást Rámcové úmluvy OSN o změně klimatu.</w:t>
      </w:r>
    </w:p>
  </w:footnote>
  <w:footnote w:id="4">
    <w:p w14:paraId="00000025" w14:textId="77777777" w:rsidR="00967B4D" w:rsidRPr="00F828BD" w:rsidRDefault="001F5B53">
      <w:pPr>
        <w:spacing w:after="0" w:line="276" w:lineRule="auto"/>
        <w:jc w:val="both"/>
        <w:rPr>
          <w:rFonts w:ascii="Arial" w:eastAsia="Arial" w:hAnsi="Arial" w:cs="Arial"/>
          <w:sz w:val="16"/>
          <w:szCs w:val="16"/>
        </w:rPr>
      </w:pPr>
      <w:r w:rsidRPr="00F828BD">
        <w:rPr>
          <w:rFonts w:ascii="Arial" w:hAnsi="Arial" w:cs="Arial"/>
          <w:sz w:val="16"/>
          <w:szCs w:val="16"/>
          <w:vertAlign w:val="superscript"/>
        </w:rPr>
        <w:footnoteRef/>
      </w:r>
      <w:r w:rsidRPr="00F828BD">
        <w:rPr>
          <w:rFonts w:ascii="Arial" w:eastAsia="Arial" w:hAnsi="Arial" w:cs="Arial"/>
          <w:sz w:val="16"/>
          <w:szCs w:val="16"/>
        </w:rPr>
        <w:t xml:space="preserve"> Tisková zpráva k zveřejnění studie </w:t>
      </w:r>
      <w:proofErr w:type="spellStart"/>
      <w:r w:rsidRPr="00F828BD">
        <w:rPr>
          <w:rFonts w:ascii="Arial" w:eastAsia="Arial" w:hAnsi="Arial" w:cs="Arial"/>
          <w:sz w:val="16"/>
          <w:szCs w:val="16"/>
        </w:rPr>
        <w:t>Special</w:t>
      </w:r>
      <w:proofErr w:type="spellEnd"/>
      <w:r w:rsidRPr="00F828BD">
        <w:rPr>
          <w:rFonts w:ascii="Arial" w:eastAsia="Arial" w:hAnsi="Arial" w:cs="Arial"/>
          <w:sz w:val="16"/>
          <w:szCs w:val="16"/>
        </w:rPr>
        <w:t xml:space="preserve"> Report on </w:t>
      </w:r>
      <w:proofErr w:type="spellStart"/>
      <w:r w:rsidRPr="00F828BD">
        <w:rPr>
          <w:rFonts w:ascii="Arial" w:eastAsia="Arial" w:hAnsi="Arial" w:cs="Arial"/>
          <w:sz w:val="16"/>
          <w:szCs w:val="16"/>
        </w:rPr>
        <w:t>Clean</w:t>
      </w:r>
      <w:proofErr w:type="spellEnd"/>
      <w:r w:rsidRPr="00F828BD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Pr="00F828BD">
        <w:rPr>
          <w:rFonts w:ascii="Arial" w:eastAsia="Arial" w:hAnsi="Arial" w:cs="Arial"/>
          <w:sz w:val="16"/>
          <w:szCs w:val="16"/>
        </w:rPr>
        <w:t>Energy</w:t>
      </w:r>
      <w:proofErr w:type="spellEnd"/>
      <w:r w:rsidRPr="00F828BD">
        <w:rPr>
          <w:rFonts w:ascii="Arial" w:eastAsia="Arial" w:hAnsi="Arial" w:cs="Arial"/>
          <w:sz w:val="16"/>
          <w:szCs w:val="16"/>
        </w:rPr>
        <w:t xml:space="preserve"> Innovation (</w:t>
      </w:r>
      <w:r w:rsidRPr="00F828BD">
        <w:rPr>
          <w:rFonts w:ascii="Arial" w:eastAsia="Arial" w:hAnsi="Arial" w:cs="Arial"/>
          <w:color w:val="1155CC"/>
          <w:sz w:val="16"/>
          <w:szCs w:val="16"/>
          <w:u w:val="single"/>
        </w:rPr>
        <w:t>odkaz</w:t>
      </w:r>
      <w:r w:rsidRPr="00F828BD">
        <w:rPr>
          <w:rFonts w:ascii="Arial" w:eastAsia="Arial" w:hAnsi="Arial" w:cs="Arial"/>
          <w:sz w:val="16"/>
          <w:szCs w:val="16"/>
        </w:rPr>
        <w:t>).</w:t>
      </w:r>
    </w:p>
  </w:footnote>
  <w:footnote w:id="5">
    <w:p w14:paraId="00000026" w14:textId="77777777" w:rsidR="00967B4D" w:rsidRPr="00F828BD" w:rsidRDefault="001F5B53">
      <w:pPr>
        <w:spacing w:after="0" w:line="276" w:lineRule="auto"/>
        <w:jc w:val="both"/>
        <w:rPr>
          <w:rFonts w:ascii="Arial" w:eastAsia="Arial" w:hAnsi="Arial" w:cs="Arial"/>
          <w:sz w:val="16"/>
          <w:szCs w:val="16"/>
        </w:rPr>
      </w:pPr>
      <w:r w:rsidRPr="00F828BD">
        <w:rPr>
          <w:rFonts w:ascii="Arial" w:hAnsi="Arial" w:cs="Arial"/>
          <w:sz w:val="16"/>
          <w:szCs w:val="16"/>
          <w:vertAlign w:val="superscript"/>
        </w:rPr>
        <w:footnoteRef/>
      </w:r>
      <w:r w:rsidRPr="00F828BD">
        <w:rPr>
          <w:rFonts w:ascii="Arial" w:eastAsia="Arial" w:hAnsi="Arial" w:cs="Arial"/>
          <w:sz w:val="16"/>
          <w:szCs w:val="16"/>
        </w:rPr>
        <w:t xml:space="preserve"> Tato publikace je dostupná v online podobě (</w:t>
      </w:r>
      <w:r w:rsidRPr="00F828BD">
        <w:rPr>
          <w:rFonts w:ascii="Arial" w:eastAsia="Arial" w:hAnsi="Arial" w:cs="Arial"/>
          <w:color w:val="1155CC"/>
          <w:sz w:val="16"/>
          <w:szCs w:val="16"/>
          <w:u w:val="single"/>
        </w:rPr>
        <w:t>odkaz</w:t>
      </w:r>
      <w:r w:rsidRPr="00F828BD">
        <w:rPr>
          <w:rFonts w:ascii="Arial" w:eastAsia="Arial" w:hAnsi="Arial" w:cs="Arial"/>
          <w:sz w:val="16"/>
          <w:szCs w:val="16"/>
        </w:rPr>
        <w:t>).</w:t>
      </w:r>
    </w:p>
  </w:footnote>
  <w:footnote w:id="6">
    <w:p w14:paraId="00000027" w14:textId="175DAA3C" w:rsidR="00967B4D" w:rsidRDefault="001F5B53">
      <w:pPr>
        <w:spacing w:after="0" w:line="240" w:lineRule="auto"/>
        <w:rPr>
          <w:sz w:val="20"/>
          <w:szCs w:val="20"/>
        </w:rPr>
      </w:pPr>
      <w:r w:rsidRPr="00F828BD">
        <w:rPr>
          <w:rFonts w:ascii="Arial" w:hAnsi="Arial" w:cs="Arial"/>
          <w:sz w:val="16"/>
          <w:szCs w:val="16"/>
          <w:vertAlign w:val="superscript"/>
        </w:rPr>
        <w:footnoteRef/>
      </w:r>
      <w:r w:rsidRPr="00F828BD">
        <w:rPr>
          <w:rFonts w:ascii="Arial" w:hAnsi="Arial" w:cs="Arial"/>
          <w:sz w:val="16"/>
          <w:szCs w:val="16"/>
        </w:rPr>
        <w:t xml:space="preserve"> </w:t>
      </w:r>
      <w:r w:rsidRPr="00F828BD">
        <w:rPr>
          <w:rFonts w:ascii="Arial" w:eastAsia="Arial" w:hAnsi="Arial" w:cs="Arial"/>
          <w:sz w:val="16"/>
          <w:szCs w:val="16"/>
        </w:rPr>
        <w:t>Hodnocen</w:t>
      </w:r>
      <w:r w:rsidRPr="00F828BD">
        <w:rPr>
          <w:rFonts w:ascii="Arial" w:hAnsi="Arial" w:cs="Arial"/>
          <w:sz w:val="16"/>
          <w:szCs w:val="16"/>
        </w:rPr>
        <w:t>í</w:t>
      </w:r>
      <w:r w:rsidRPr="00F828BD">
        <w:rPr>
          <w:rFonts w:ascii="Arial" w:eastAsia="Arial" w:hAnsi="Arial" w:cs="Arial"/>
          <w:sz w:val="16"/>
          <w:szCs w:val="16"/>
        </w:rPr>
        <w:t xml:space="preserve"> vycházelo ze Základních principů přípravy a hodnocení programů a skupin grantových projektů výzkumu, vývoje a</w:t>
      </w:r>
      <w:r w:rsidR="00F828BD" w:rsidRPr="00F828BD">
        <w:rPr>
          <w:rFonts w:ascii="Arial" w:eastAsia="Arial" w:hAnsi="Arial" w:cs="Arial"/>
          <w:sz w:val="16"/>
          <w:szCs w:val="16"/>
        </w:rPr>
        <w:t> </w:t>
      </w:r>
      <w:r w:rsidRPr="00F828BD">
        <w:rPr>
          <w:rFonts w:ascii="Arial" w:eastAsia="Arial" w:hAnsi="Arial" w:cs="Arial"/>
          <w:sz w:val="16"/>
          <w:szCs w:val="16"/>
        </w:rPr>
        <w:t>inovací schváleného usnesením vlády ČR ze dne 13. května 2015 č. 351.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45B6" w14:textId="4AB4C554" w:rsidR="003A5DA4" w:rsidRPr="003A5DA4" w:rsidRDefault="003A5DA4">
    <w:pPr>
      <w:pStyle w:val="Zhlav"/>
      <w:rPr>
        <w:rFonts w:ascii="Arial" w:hAnsi="Arial" w:cs="Arial"/>
      </w:rPr>
    </w:pPr>
    <w:r>
      <w:tab/>
    </w:r>
    <w:r>
      <w:tab/>
    </w:r>
    <w:r w:rsidRPr="003A5DA4">
      <w:rPr>
        <w:rFonts w:ascii="Arial" w:hAnsi="Arial" w:cs="Arial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06BB6"/>
    <w:multiLevelType w:val="multilevel"/>
    <w:tmpl w:val="03F2B9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CF4C65"/>
    <w:multiLevelType w:val="hybridMultilevel"/>
    <w:tmpl w:val="EE6401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E97F87"/>
    <w:multiLevelType w:val="hybridMultilevel"/>
    <w:tmpl w:val="6452F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4B0"/>
    <w:multiLevelType w:val="hybridMultilevel"/>
    <w:tmpl w:val="2D38232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E263C65"/>
    <w:multiLevelType w:val="multilevel"/>
    <w:tmpl w:val="61B006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AE40D88"/>
    <w:multiLevelType w:val="hybridMultilevel"/>
    <w:tmpl w:val="AC40B6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A4358"/>
    <w:multiLevelType w:val="multilevel"/>
    <w:tmpl w:val="7F186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F302616"/>
    <w:multiLevelType w:val="multilevel"/>
    <w:tmpl w:val="AE1843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382560004">
    <w:abstractNumId w:val="0"/>
  </w:num>
  <w:num w:numId="2" w16cid:durableId="1832990863">
    <w:abstractNumId w:val="6"/>
  </w:num>
  <w:num w:numId="3" w16cid:durableId="1390884893">
    <w:abstractNumId w:val="4"/>
  </w:num>
  <w:num w:numId="4" w16cid:durableId="649793790">
    <w:abstractNumId w:val="7"/>
  </w:num>
  <w:num w:numId="5" w16cid:durableId="1242644366">
    <w:abstractNumId w:val="2"/>
  </w:num>
  <w:num w:numId="6" w16cid:durableId="1183741553">
    <w:abstractNumId w:val="1"/>
  </w:num>
  <w:num w:numId="7" w16cid:durableId="53741390">
    <w:abstractNumId w:val="3"/>
  </w:num>
  <w:num w:numId="8" w16cid:durableId="13363728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B4D"/>
    <w:rsid w:val="00130755"/>
    <w:rsid w:val="001E0196"/>
    <w:rsid w:val="001F5B53"/>
    <w:rsid w:val="002D11F6"/>
    <w:rsid w:val="0033214F"/>
    <w:rsid w:val="003A5DA4"/>
    <w:rsid w:val="00443D75"/>
    <w:rsid w:val="004C238C"/>
    <w:rsid w:val="00510A37"/>
    <w:rsid w:val="00560012"/>
    <w:rsid w:val="006C6166"/>
    <w:rsid w:val="007C31A7"/>
    <w:rsid w:val="00862EFD"/>
    <w:rsid w:val="008971EC"/>
    <w:rsid w:val="008C3F8E"/>
    <w:rsid w:val="00947331"/>
    <w:rsid w:val="00967B4D"/>
    <w:rsid w:val="00A31A25"/>
    <w:rsid w:val="00A96F41"/>
    <w:rsid w:val="00B275A6"/>
    <w:rsid w:val="00BB1F34"/>
    <w:rsid w:val="00BE3DED"/>
    <w:rsid w:val="00CB44AB"/>
    <w:rsid w:val="00E31A07"/>
    <w:rsid w:val="00E346E5"/>
    <w:rsid w:val="00F105AC"/>
    <w:rsid w:val="00F8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68E4"/>
  <w15:docId w15:val="{2BD528DF-4A2E-4CAB-ABFD-6C8DFC45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0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075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828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A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5DA4"/>
  </w:style>
  <w:style w:type="paragraph" w:styleId="Zpat">
    <w:name w:val="footer"/>
    <w:basedOn w:val="Normln"/>
    <w:link w:val="ZpatChar"/>
    <w:uiPriority w:val="99"/>
    <w:unhideWhenUsed/>
    <w:rsid w:val="003A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5DA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21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21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321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122BE-5C85-4A7F-8F42-08052BFA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1233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Kmoníček</dc:creator>
  <cp:lastModifiedBy>Václav Kmoníček</cp:lastModifiedBy>
  <cp:revision>14</cp:revision>
  <cp:lastPrinted>2022-11-09T11:01:00Z</cp:lastPrinted>
  <dcterms:created xsi:type="dcterms:W3CDTF">2022-11-02T08:47:00Z</dcterms:created>
  <dcterms:modified xsi:type="dcterms:W3CDTF">2023-01-17T10:30:00Z</dcterms:modified>
</cp:coreProperties>
</file>